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C" w:rsidRPr="00A33B9A" w:rsidRDefault="009A280F" w:rsidP="009A280F">
      <w:pPr>
        <w:tabs>
          <w:tab w:val="left" w:pos="5103"/>
        </w:tabs>
        <w:rPr>
          <w:sz w:val="24"/>
          <w:szCs w:val="24"/>
        </w:rPr>
      </w:pPr>
      <w:r>
        <w:tab/>
      </w:r>
      <w:r w:rsidRPr="00A33B9A">
        <w:rPr>
          <w:sz w:val="24"/>
          <w:szCs w:val="24"/>
        </w:rPr>
        <w:t>Załącznik Nr 2</w:t>
      </w:r>
    </w:p>
    <w:p w:rsidR="009A280F" w:rsidRPr="00A33B9A" w:rsidRDefault="009A280F" w:rsidP="009A280F">
      <w:pPr>
        <w:tabs>
          <w:tab w:val="left" w:pos="5103"/>
        </w:tabs>
        <w:rPr>
          <w:sz w:val="24"/>
          <w:szCs w:val="24"/>
        </w:rPr>
      </w:pPr>
      <w:r w:rsidRPr="00A33B9A">
        <w:rPr>
          <w:sz w:val="24"/>
          <w:szCs w:val="24"/>
        </w:rPr>
        <w:tab/>
        <w:t xml:space="preserve">do uchwały Nr </w:t>
      </w:r>
      <w:r w:rsidR="00BE2DA1">
        <w:rPr>
          <w:sz w:val="24"/>
          <w:szCs w:val="24"/>
        </w:rPr>
        <w:t xml:space="preserve"> IV/25/2011</w:t>
      </w:r>
    </w:p>
    <w:p w:rsidR="009A280F" w:rsidRDefault="009A280F" w:rsidP="009A280F">
      <w:pPr>
        <w:tabs>
          <w:tab w:val="left" w:pos="5103"/>
        </w:tabs>
        <w:rPr>
          <w:sz w:val="24"/>
          <w:szCs w:val="24"/>
        </w:rPr>
      </w:pPr>
      <w:r w:rsidRPr="00A33B9A">
        <w:rPr>
          <w:sz w:val="24"/>
          <w:szCs w:val="24"/>
        </w:rPr>
        <w:tab/>
        <w:t>Rady Gminy</w:t>
      </w:r>
      <w:r w:rsidR="00677297" w:rsidRPr="00A33B9A">
        <w:rPr>
          <w:sz w:val="24"/>
          <w:szCs w:val="24"/>
        </w:rPr>
        <w:t xml:space="preserve"> Kołbaskowo </w:t>
      </w:r>
    </w:p>
    <w:p w:rsidR="00BE2DA1" w:rsidRPr="00A33B9A" w:rsidRDefault="00BE2DA1" w:rsidP="009A280F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z 24.01.2011 r.</w:t>
      </w:r>
    </w:p>
    <w:p w:rsidR="009A280F" w:rsidRDefault="009A280F" w:rsidP="00F32C18">
      <w:pPr>
        <w:tabs>
          <w:tab w:val="left" w:pos="5103"/>
        </w:tabs>
      </w:pPr>
      <w:r>
        <w:tab/>
      </w:r>
    </w:p>
    <w:p w:rsidR="009A280F" w:rsidRPr="009A280F" w:rsidRDefault="009A280F" w:rsidP="009A280F">
      <w:pPr>
        <w:tabs>
          <w:tab w:val="left" w:pos="5103"/>
        </w:tabs>
        <w:ind w:firstLine="0"/>
        <w:jc w:val="center"/>
        <w:rPr>
          <w:b/>
          <w:bCs/>
          <w:color w:val="000000" w:themeColor="text1"/>
          <w:szCs w:val="26"/>
        </w:rPr>
      </w:pPr>
      <w:r w:rsidRPr="009A280F">
        <w:rPr>
          <w:b/>
          <w:sz w:val="30"/>
        </w:rPr>
        <w:t>Objaśnienia</w:t>
      </w:r>
      <w:r w:rsidRPr="009A280F">
        <w:rPr>
          <w:b/>
          <w:bCs/>
          <w:color w:val="000000" w:themeColor="text1"/>
          <w:szCs w:val="26"/>
        </w:rPr>
        <w:t xml:space="preserve"> wartości przyjętych w wieloletniej prognozie finansowej</w:t>
      </w:r>
    </w:p>
    <w:p w:rsidR="009A280F" w:rsidRPr="009A280F" w:rsidRDefault="009A280F" w:rsidP="009A280F">
      <w:pPr>
        <w:tabs>
          <w:tab w:val="left" w:pos="5103"/>
        </w:tabs>
        <w:ind w:firstLine="0"/>
        <w:jc w:val="center"/>
        <w:rPr>
          <w:b/>
          <w:sz w:val="30"/>
        </w:rPr>
      </w:pPr>
      <w:r w:rsidRPr="009A280F">
        <w:rPr>
          <w:b/>
          <w:sz w:val="30"/>
        </w:rPr>
        <w:t>Gminy</w:t>
      </w:r>
      <w:r w:rsidR="00677297">
        <w:rPr>
          <w:b/>
          <w:sz w:val="30"/>
        </w:rPr>
        <w:t xml:space="preserve"> Kołbaskowo</w:t>
      </w:r>
    </w:p>
    <w:p w:rsidR="0068057D" w:rsidRPr="000843EA" w:rsidRDefault="009A280F" w:rsidP="000843EA">
      <w:pPr>
        <w:tabs>
          <w:tab w:val="left" w:pos="5103"/>
        </w:tabs>
        <w:ind w:firstLine="0"/>
        <w:jc w:val="center"/>
        <w:rPr>
          <w:b/>
          <w:sz w:val="30"/>
        </w:rPr>
      </w:pPr>
      <w:r w:rsidRPr="009A280F">
        <w:rPr>
          <w:b/>
          <w:sz w:val="30"/>
        </w:rPr>
        <w:t xml:space="preserve">na lata 2011 - </w:t>
      </w:r>
      <w:r w:rsidR="00677297">
        <w:rPr>
          <w:b/>
          <w:sz w:val="30"/>
        </w:rPr>
        <w:t>2022</w:t>
      </w:r>
    </w:p>
    <w:p w:rsidR="009A280F" w:rsidRPr="00E23EF3" w:rsidRDefault="00677297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b/>
        </w:rPr>
      </w:pPr>
      <w:r w:rsidRPr="00E23EF3">
        <w:rPr>
          <w:b/>
        </w:rPr>
        <w:t>Dotyczy dochodów  roku  2011</w:t>
      </w:r>
      <w:r w:rsidR="00C07451" w:rsidRPr="00E23EF3">
        <w:rPr>
          <w:b/>
        </w:rPr>
        <w:t xml:space="preserve"> (lat </w:t>
      </w:r>
      <w:r w:rsidR="000843EA" w:rsidRPr="00E23EF3">
        <w:rPr>
          <w:b/>
        </w:rPr>
        <w:t>2012-2022) wykazanych w poz. 1</w:t>
      </w:r>
      <w:r w:rsidR="00C07451" w:rsidRPr="00E23EF3">
        <w:rPr>
          <w:b/>
        </w:rPr>
        <w:t>:</w:t>
      </w:r>
    </w:p>
    <w:p w:rsidR="00C07451" w:rsidRDefault="00C07451" w:rsidP="00C07451">
      <w:pPr>
        <w:pStyle w:val="Akapitzlist"/>
        <w:spacing w:before="240"/>
        <w:ind w:left="709"/>
        <w:contextualSpacing w:val="0"/>
      </w:pPr>
      <w:r>
        <w:t>Objaśnienia:</w:t>
      </w:r>
    </w:p>
    <w:p w:rsidR="005129C8" w:rsidRDefault="000843EA" w:rsidP="000843EA">
      <w:r>
        <w:t>Na 2011 rok  dochody przyjęto zgodne z dochodami zaplanowanymi w</w:t>
      </w:r>
    </w:p>
    <w:p w:rsidR="005129C8" w:rsidRDefault="000843EA" w:rsidP="005129C8">
      <w:r>
        <w:t xml:space="preserve"> projekcie budżetu gminy na 2011 r. Natomiast na lata 2012-2022 przyjęto </w:t>
      </w:r>
    </w:p>
    <w:p w:rsidR="000843EA" w:rsidRDefault="000843EA" w:rsidP="005129C8">
      <w:r>
        <w:t>następujące założenia i wskaźniki:</w:t>
      </w:r>
    </w:p>
    <w:p w:rsidR="00214DB0" w:rsidRDefault="00214DB0" w:rsidP="000843EA">
      <w:r>
        <w:t>1</w:t>
      </w:r>
      <w:r w:rsidRPr="005018FF">
        <w:rPr>
          <w:u w:val="single"/>
        </w:rPr>
        <w:t>.b.</w:t>
      </w:r>
      <w:r w:rsidR="00667C52">
        <w:rPr>
          <w:u w:val="single"/>
        </w:rPr>
        <w:t xml:space="preserve"> </w:t>
      </w:r>
      <w:r w:rsidRPr="005018FF">
        <w:rPr>
          <w:u w:val="single"/>
        </w:rPr>
        <w:t>D</w:t>
      </w:r>
      <w:r w:rsidR="000843EA" w:rsidRPr="005018FF">
        <w:rPr>
          <w:i/>
          <w:u w:val="single"/>
        </w:rPr>
        <w:t>ochody z majątku gminy</w:t>
      </w:r>
      <w:r w:rsidR="000843EA">
        <w:t xml:space="preserve"> </w:t>
      </w:r>
    </w:p>
    <w:p w:rsidR="000843EA" w:rsidRDefault="000843EA" w:rsidP="000843EA">
      <w:r>
        <w:t>będą wzrastały o:</w:t>
      </w:r>
    </w:p>
    <w:p w:rsidR="005129C8" w:rsidRDefault="000843EA" w:rsidP="000843EA">
      <w:r>
        <w:t xml:space="preserve">-  dochody ze sprzedaży gruntów </w:t>
      </w:r>
      <w:r w:rsidR="005129C8">
        <w:t>(</w:t>
      </w:r>
      <w:r>
        <w:t xml:space="preserve">łącznie planuje się uzyskać wpływy  w </w:t>
      </w:r>
    </w:p>
    <w:p w:rsidR="003816E2" w:rsidRDefault="005129C8" w:rsidP="003816E2">
      <w:r>
        <w:t xml:space="preserve">   </w:t>
      </w:r>
      <w:r w:rsidR="000843EA">
        <w:t>wy</w:t>
      </w:r>
      <w:r w:rsidR="003816E2">
        <w:t>sokości  7.533.772</w:t>
      </w:r>
      <w:r w:rsidR="000843EA">
        <w:t xml:space="preserve"> zł</w:t>
      </w:r>
      <w:r w:rsidR="00DD0B24">
        <w:t xml:space="preserve"> </w:t>
      </w:r>
      <w:r w:rsidR="000843EA">
        <w:t xml:space="preserve"> </w:t>
      </w:r>
      <w:r>
        <w:t xml:space="preserve">z tego w 2012 r. –  5.076.000 zł, 2013 r. – </w:t>
      </w:r>
    </w:p>
    <w:p w:rsidR="000843EA" w:rsidRDefault="003816E2" w:rsidP="003816E2">
      <w:r>
        <w:t xml:space="preserve">   </w:t>
      </w:r>
      <w:r w:rsidR="005129C8">
        <w:t>2.457.772 zł)</w:t>
      </w:r>
      <w:r w:rsidR="00667C52">
        <w:t>;</w:t>
      </w:r>
    </w:p>
    <w:p w:rsidR="000843EA" w:rsidRDefault="000843EA" w:rsidP="000843EA">
      <w:r>
        <w:t xml:space="preserve">- środki pochodzące z funduszy UE  </w:t>
      </w:r>
      <w:r w:rsidR="005129C8">
        <w:t>-</w:t>
      </w:r>
      <w:r>
        <w:t xml:space="preserve">  18.272.525 zł</w:t>
      </w:r>
      <w:r w:rsidR="00667C52">
        <w:t>;</w:t>
      </w:r>
    </w:p>
    <w:p w:rsidR="000843EA" w:rsidRDefault="000843EA" w:rsidP="000843EA">
      <w:r>
        <w:t xml:space="preserve">- dotacje z budżetu państwa </w:t>
      </w:r>
      <w:r w:rsidR="005129C8">
        <w:t xml:space="preserve"> </w:t>
      </w:r>
      <w:r>
        <w:t>2.798.780 zł</w:t>
      </w:r>
      <w:r w:rsidR="00667C52">
        <w:t>.</w:t>
      </w:r>
    </w:p>
    <w:p w:rsidR="000843EA" w:rsidRDefault="005129C8" w:rsidP="000843EA">
      <w:r>
        <w:t>O</w:t>
      </w:r>
      <w:r w:rsidR="000843EA">
        <w:t xml:space="preserve">d </w:t>
      </w:r>
      <w:r>
        <w:t>roku 20</w:t>
      </w:r>
      <w:r w:rsidR="000843EA">
        <w:t xml:space="preserve">15 przyjęto ich </w:t>
      </w:r>
      <w:r>
        <w:t xml:space="preserve">realizacje na poziomie </w:t>
      </w:r>
      <w:r w:rsidR="00F32C18">
        <w:t xml:space="preserve"> </w:t>
      </w:r>
      <w:r>
        <w:t>6.000 zł.</w:t>
      </w:r>
    </w:p>
    <w:p w:rsidR="00214DB0" w:rsidRPr="005018FF" w:rsidRDefault="00214DB0" w:rsidP="000843EA">
      <w:pPr>
        <w:rPr>
          <w:u w:val="single"/>
        </w:rPr>
      </w:pPr>
      <w:r w:rsidRPr="005018FF">
        <w:rPr>
          <w:u w:val="single"/>
        </w:rPr>
        <w:t>1.a</w:t>
      </w:r>
      <w:r w:rsidRPr="005018FF">
        <w:rPr>
          <w:i/>
          <w:u w:val="single"/>
        </w:rPr>
        <w:t>. D</w:t>
      </w:r>
      <w:r w:rsidR="000843EA" w:rsidRPr="005018FF">
        <w:rPr>
          <w:i/>
          <w:u w:val="single"/>
        </w:rPr>
        <w:t>ochody bieżące</w:t>
      </w:r>
      <w:r w:rsidR="000843EA" w:rsidRPr="005018FF">
        <w:rPr>
          <w:u w:val="single"/>
        </w:rPr>
        <w:t xml:space="preserve"> </w:t>
      </w:r>
    </w:p>
    <w:p w:rsidR="003816E2" w:rsidRDefault="003816E2" w:rsidP="005018FF">
      <w:r>
        <w:t xml:space="preserve">Prognoza poszczególnych rodzajów dochodów na lata </w:t>
      </w:r>
      <w:r w:rsidR="000843EA">
        <w:t xml:space="preserve"> 2012-2022 </w:t>
      </w:r>
      <w:r w:rsidR="00214DB0">
        <w:t xml:space="preserve"> </w:t>
      </w:r>
      <w:r>
        <w:t>oparta</w:t>
      </w:r>
    </w:p>
    <w:p w:rsidR="003816E2" w:rsidRDefault="003816E2" w:rsidP="005018FF">
      <w:r>
        <w:t xml:space="preserve"> została na analizie wykonania dochodów za lata 2008-2009 oraz</w:t>
      </w:r>
    </w:p>
    <w:p w:rsidR="003816E2" w:rsidRDefault="003816E2" w:rsidP="003816E2">
      <w:r>
        <w:t xml:space="preserve"> przewidywanym wykonaniu za rok 2010.</w:t>
      </w:r>
    </w:p>
    <w:p w:rsidR="000843EA" w:rsidRDefault="003816E2" w:rsidP="00F32C18">
      <w:r>
        <w:t xml:space="preserve"> Założono  ich </w:t>
      </w:r>
      <w:r w:rsidR="00214DB0">
        <w:t xml:space="preserve"> wzrost </w:t>
      </w:r>
      <w:r w:rsidR="000843EA">
        <w:t xml:space="preserve"> o wskaźnik inflacji na poziomie 2,3 %</w:t>
      </w:r>
      <w:r w:rsidR="0087285A">
        <w:t xml:space="preserve"> z tym,</w:t>
      </w:r>
      <w:r w:rsidR="00667C52">
        <w:t xml:space="preserve"> </w:t>
      </w:r>
      <w:r w:rsidR="0087285A">
        <w:t>że:</w:t>
      </w:r>
    </w:p>
    <w:p w:rsidR="00214DB0" w:rsidRDefault="00214DB0" w:rsidP="000843EA">
      <w:r>
        <w:t xml:space="preserve"> </w:t>
      </w:r>
      <w:r w:rsidR="003816E2">
        <w:t xml:space="preserve">- </w:t>
      </w:r>
      <w:r w:rsidR="000843EA">
        <w:t>wpływy z tyt. podatku dochodowego od osób fizycznych</w:t>
      </w:r>
      <w:r w:rsidR="003816E2">
        <w:t xml:space="preserve">, </w:t>
      </w:r>
      <w:r w:rsidR="0087285A">
        <w:t xml:space="preserve"> </w:t>
      </w:r>
    </w:p>
    <w:p w:rsidR="003816E2" w:rsidRDefault="0087285A" w:rsidP="00214DB0">
      <w:r>
        <w:t xml:space="preserve"> p</w:t>
      </w:r>
      <w:r w:rsidR="00214DB0">
        <w:t>rzy założeniu wzrostu liczby mieszkańców co wynika z danych</w:t>
      </w:r>
    </w:p>
    <w:p w:rsidR="000843EA" w:rsidRDefault="00214DB0" w:rsidP="003816E2">
      <w:r>
        <w:t xml:space="preserve"> z ewidencji </w:t>
      </w:r>
      <w:r w:rsidR="0087285A">
        <w:t xml:space="preserve"> ludności </w:t>
      </w:r>
      <w:r w:rsidR="003816E2">
        <w:t>wzrastały będą o 3</w:t>
      </w:r>
      <w:r w:rsidR="0087285A">
        <w:t>00.000 zł )</w:t>
      </w:r>
      <w:r w:rsidR="00667C52">
        <w:t>;</w:t>
      </w:r>
    </w:p>
    <w:p w:rsidR="0087285A" w:rsidRDefault="000843EA" w:rsidP="000843EA">
      <w:r>
        <w:t xml:space="preserve">- dochody z subwencji  we wszystkich kolejnych latach  powiększone zostaną </w:t>
      </w:r>
      <w:r w:rsidR="0087285A">
        <w:t xml:space="preserve">    </w:t>
      </w:r>
    </w:p>
    <w:p w:rsidR="000843EA" w:rsidRDefault="0087285A" w:rsidP="000843EA">
      <w:r>
        <w:t xml:space="preserve">   o150.000 </w:t>
      </w:r>
      <w:r w:rsidR="007946A7">
        <w:t xml:space="preserve"> zł;</w:t>
      </w:r>
    </w:p>
    <w:p w:rsidR="00D55434" w:rsidRDefault="00D55434" w:rsidP="000843EA">
      <w:r>
        <w:t>- dotacje na zadania zlecone w wysokości planowanych na rok 2011.</w:t>
      </w:r>
    </w:p>
    <w:p w:rsidR="00F32C18" w:rsidRDefault="00F32C18" w:rsidP="000843EA">
      <w:r>
        <w:t xml:space="preserve">Wzrost w podatku od nieruchomości i  podatku dochodowym od osób </w:t>
      </w:r>
    </w:p>
    <w:p w:rsidR="00F32C18" w:rsidRDefault="00F32C18" w:rsidP="00F32C18">
      <w:r>
        <w:t xml:space="preserve">prawnych ( ponad założony wskaźnik) uwarunkowany będzie od aktywności </w:t>
      </w:r>
    </w:p>
    <w:p w:rsidR="00F32C18" w:rsidRDefault="00F32C18" w:rsidP="00F32C18">
      <w:r>
        <w:t xml:space="preserve">gospodarczej  na terenie gminy i stanowić będzie dodatkowe źródło </w:t>
      </w:r>
    </w:p>
    <w:p w:rsidR="00F32C18" w:rsidRDefault="00F32C18" w:rsidP="00F32C18">
      <w:r>
        <w:t>finansowania inwestycji gminnych.</w:t>
      </w:r>
    </w:p>
    <w:p w:rsidR="00C07451" w:rsidRDefault="000843EA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</w:pPr>
      <w:r w:rsidRPr="00E23EF3">
        <w:rPr>
          <w:b/>
        </w:rPr>
        <w:t>Dotyczy wydatków  roku 2011 (lat 2012-2022) wykazanych w poz. 20</w:t>
      </w:r>
      <w:r>
        <w:t xml:space="preserve"> </w:t>
      </w:r>
      <w:r w:rsidR="00C07451">
        <w:t>:</w:t>
      </w:r>
    </w:p>
    <w:p w:rsidR="00C07451" w:rsidRDefault="00C07451" w:rsidP="00C07451">
      <w:pPr>
        <w:pStyle w:val="Akapitzlist"/>
        <w:spacing w:before="240"/>
        <w:ind w:left="709"/>
        <w:contextualSpacing w:val="0"/>
      </w:pPr>
      <w:r>
        <w:t>Objaśnienia:</w:t>
      </w:r>
    </w:p>
    <w:p w:rsidR="000843EA" w:rsidRDefault="000843EA" w:rsidP="000843EA">
      <w:r>
        <w:t>Przy planowaniu wydatków  przyjęto następujące założenia i wskaźniki:</w:t>
      </w:r>
    </w:p>
    <w:p w:rsidR="000920A1" w:rsidRDefault="007946A7" w:rsidP="000843EA">
      <w:r>
        <w:t>- n</w:t>
      </w:r>
      <w:r w:rsidR="000843EA">
        <w:t>a rok 2011 wydatki przyjęto zgodne z wydatkami zaplanowanymi w</w:t>
      </w:r>
    </w:p>
    <w:p w:rsidR="000843EA" w:rsidRDefault="000843EA" w:rsidP="000920A1">
      <w:r>
        <w:t xml:space="preserve"> </w:t>
      </w:r>
      <w:r w:rsidR="007946A7">
        <w:t xml:space="preserve"> </w:t>
      </w:r>
      <w:r>
        <w:t>projek</w:t>
      </w:r>
      <w:r w:rsidR="007946A7">
        <w:t>cie budżetu gminy na rok 2011;</w:t>
      </w:r>
    </w:p>
    <w:p w:rsidR="000843EA" w:rsidRDefault="007946A7" w:rsidP="000843EA">
      <w:r>
        <w:t>- l</w:t>
      </w:r>
      <w:r w:rsidR="000843EA">
        <w:t>ata 2012-2022</w:t>
      </w:r>
      <w:r>
        <w:t>.</w:t>
      </w:r>
      <w:r w:rsidR="000843EA">
        <w:t xml:space="preserve"> </w:t>
      </w:r>
    </w:p>
    <w:p w:rsidR="000843EA" w:rsidRPr="005018FF" w:rsidRDefault="000843EA" w:rsidP="000843EA">
      <w:pPr>
        <w:rPr>
          <w:i/>
          <w:u w:val="single"/>
        </w:rPr>
      </w:pPr>
      <w:r w:rsidRPr="005018FF">
        <w:rPr>
          <w:i/>
          <w:u w:val="single"/>
        </w:rPr>
        <w:t>Wydatki bieżące:</w:t>
      </w:r>
    </w:p>
    <w:p w:rsidR="000843EA" w:rsidRDefault="003816E2" w:rsidP="000843EA">
      <w:r>
        <w:lastRenderedPageBreak/>
        <w:t>P</w:t>
      </w:r>
      <w:r w:rsidR="00214DB0">
        <w:t>rzyjęto</w:t>
      </w:r>
      <w:r w:rsidR="000843EA">
        <w:t xml:space="preserve">  wskaźnik inflacji 2,3 % ( w tym wynagrodzenia 2,3 %).</w:t>
      </w:r>
    </w:p>
    <w:p w:rsidR="003816E2" w:rsidRDefault="003816E2" w:rsidP="000843EA">
      <w:r>
        <w:t xml:space="preserve">       W latach 2012-2022  wydatki bieżące wzrastają o wydatki na obsługę </w:t>
      </w:r>
    </w:p>
    <w:p w:rsidR="003816E2" w:rsidRDefault="003816E2" w:rsidP="000843EA">
      <w:r>
        <w:t xml:space="preserve">       długu, które skalkulowano biorąc pod uwagę wysokość planowanego </w:t>
      </w:r>
    </w:p>
    <w:p w:rsidR="003816E2" w:rsidRDefault="003816E2" w:rsidP="000843EA">
      <w:r>
        <w:t xml:space="preserve">       kredytu i oprocentowania.</w:t>
      </w:r>
    </w:p>
    <w:p w:rsidR="000843EA" w:rsidRPr="005018FF" w:rsidRDefault="006108C2" w:rsidP="000843EA">
      <w:pPr>
        <w:rPr>
          <w:i/>
          <w:u w:val="single"/>
        </w:rPr>
      </w:pPr>
      <w:r w:rsidRPr="006108C2">
        <w:rPr>
          <w:i/>
        </w:rPr>
        <w:t xml:space="preserve">     </w:t>
      </w:r>
      <w:r>
        <w:rPr>
          <w:i/>
          <w:u w:val="single"/>
        </w:rPr>
        <w:t xml:space="preserve"> </w:t>
      </w:r>
      <w:r w:rsidR="000843EA" w:rsidRPr="005018FF">
        <w:rPr>
          <w:i/>
          <w:u w:val="single"/>
        </w:rPr>
        <w:t>Wydatki majątkowe</w:t>
      </w:r>
    </w:p>
    <w:p w:rsidR="000843EA" w:rsidRDefault="006108C2" w:rsidP="000843EA">
      <w:r>
        <w:t xml:space="preserve">     </w:t>
      </w:r>
      <w:r w:rsidR="00C66C2A">
        <w:t>Lata 2012-2015</w:t>
      </w:r>
    </w:p>
    <w:p w:rsidR="006108C2" w:rsidRDefault="006108C2" w:rsidP="001B726D">
      <w:r>
        <w:t xml:space="preserve">     Zaplanowano na poziomie limitów określonych w załączniku do </w:t>
      </w:r>
    </w:p>
    <w:p w:rsidR="006108C2" w:rsidRDefault="006108C2" w:rsidP="006108C2">
      <w:r>
        <w:t xml:space="preserve">      prognozy (przedsięwzięcia).</w:t>
      </w:r>
      <w:r w:rsidR="007946A7">
        <w:t xml:space="preserve"> </w:t>
      </w:r>
      <w:r>
        <w:t>Ponadto w każdym roku zaplanowano wydatki</w:t>
      </w:r>
    </w:p>
    <w:p w:rsidR="006108C2" w:rsidRDefault="006108C2" w:rsidP="001B726D">
      <w:r>
        <w:t xml:space="preserve">      nie ujęte w  załączniku na konieczne zakupy inwestycyjne. </w:t>
      </w:r>
      <w:r w:rsidR="000843EA">
        <w:t>Założono,</w:t>
      </w:r>
      <w:r w:rsidR="007946A7">
        <w:t xml:space="preserve"> </w:t>
      </w:r>
      <w:r w:rsidR="000843EA">
        <w:t xml:space="preserve">że </w:t>
      </w:r>
    </w:p>
    <w:p w:rsidR="005129C8" w:rsidRDefault="006108C2" w:rsidP="001B726D">
      <w:r>
        <w:t xml:space="preserve">      </w:t>
      </w:r>
      <w:r w:rsidR="000843EA">
        <w:t xml:space="preserve">źródłem finansowania  wydatków majątkowych obok środków </w:t>
      </w:r>
    </w:p>
    <w:p w:rsidR="005129C8" w:rsidRDefault="00214DB0" w:rsidP="001B726D">
      <w:r>
        <w:t xml:space="preserve">      </w:t>
      </w:r>
      <w:r w:rsidR="000843EA">
        <w:t>własnych,</w:t>
      </w:r>
      <w:r w:rsidR="007946A7">
        <w:t xml:space="preserve"> </w:t>
      </w:r>
      <w:r w:rsidR="000843EA">
        <w:t>będą środki z funduszy UE,</w:t>
      </w:r>
      <w:r w:rsidR="007946A7">
        <w:t xml:space="preserve"> </w:t>
      </w:r>
      <w:r w:rsidR="000843EA">
        <w:t xml:space="preserve"> dotacje z budżetu państwa oraz</w:t>
      </w:r>
    </w:p>
    <w:p w:rsidR="005129C8" w:rsidRDefault="005129C8" w:rsidP="00214DB0">
      <w:r>
        <w:t xml:space="preserve"> </w:t>
      </w:r>
      <w:r w:rsidR="00214DB0">
        <w:t xml:space="preserve">    </w:t>
      </w:r>
      <w:r w:rsidR="000843EA">
        <w:t xml:space="preserve">zaciągnięty kredyt bankowy. W przypadku braku wsparcia </w:t>
      </w:r>
      <w:r>
        <w:t xml:space="preserve"> </w:t>
      </w:r>
      <w:r w:rsidR="000843EA">
        <w:t xml:space="preserve">część zadań </w:t>
      </w:r>
    </w:p>
    <w:p w:rsidR="005129C8" w:rsidRDefault="005129C8" w:rsidP="005129C8">
      <w:r>
        <w:t xml:space="preserve"> </w:t>
      </w:r>
      <w:r w:rsidR="00214DB0">
        <w:t xml:space="preserve">    </w:t>
      </w:r>
      <w:r w:rsidR="000843EA">
        <w:t xml:space="preserve">inwestycyjnych będzie musiała być wykreślona, ponieważ budżet gminy </w:t>
      </w:r>
    </w:p>
    <w:p w:rsidR="005129C8" w:rsidRDefault="005129C8" w:rsidP="005129C8">
      <w:r>
        <w:t xml:space="preserve">     </w:t>
      </w:r>
      <w:r w:rsidR="000843EA">
        <w:t>nie daje możliwości finansowania tych zadań w oparciu tylko o</w:t>
      </w:r>
      <w:r w:rsidR="007946A7">
        <w:t xml:space="preserve"> </w:t>
      </w:r>
      <w:r w:rsidR="000843EA">
        <w:t xml:space="preserve">środki </w:t>
      </w:r>
    </w:p>
    <w:p w:rsidR="000843EA" w:rsidRDefault="005129C8" w:rsidP="005129C8">
      <w:r>
        <w:t xml:space="preserve">     </w:t>
      </w:r>
      <w:r w:rsidR="000843EA">
        <w:t xml:space="preserve">własne. </w:t>
      </w:r>
    </w:p>
    <w:p w:rsidR="000920A1" w:rsidRDefault="000920A1" w:rsidP="005129C8">
      <w:r>
        <w:t xml:space="preserve">     Od roku 2015 nakłady na realizację inwestycji planuje się stosownie do </w:t>
      </w:r>
    </w:p>
    <w:p w:rsidR="00E23EF3" w:rsidRDefault="000920A1" w:rsidP="005129C8">
      <w:r>
        <w:t xml:space="preserve">     zrealizowanych dochodów.</w:t>
      </w:r>
      <w:r w:rsidR="00E23EF3">
        <w:t xml:space="preserve"> Ewentualny ich wzrost będzie uwarunkowany </w:t>
      </w:r>
    </w:p>
    <w:p w:rsidR="000920A1" w:rsidRDefault="00E23EF3" w:rsidP="005129C8">
      <w:r>
        <w:t xml:space="preserve">     ponadplanową realizacją dochodów i otrzymanym dofinansowaniem.</w:t>
      </w:r>
    </w:p>
    <w:p w:rsidR="0068057D" w:rsidRPr="00E23EF3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b/>
        </w:rPr>
      </w:pPr>
      <w:r w:rsidRPr="00E23EF3">
        <w:rPr>
          <w:b/>
        </w:rPr>
        <w:t>Dotyczy</w:t>
      </w:r>
      <w:r w:rsidR="000843EA" w:rsidRPr="00E23EF3">
        <w:rPr>
          <w:b/>
        </w:rPr>
        <w:t xml:space="preserve"> wyniku (ów) budżetu  roku  2011 (lat 2012-2022) wykazanych w poz. 21</w:t>
      </w:r>
      <w:r w:rsidRPr="00E23EF3">
        <w:rPr>
          <w:b/>
        </w:rPr>
        <w:t>:</w:t>
      </w:r>
    </w:p>
    <w:p w:rsidR="0068057D" w:rsidRDefault="0068057D" w:rsidP="0068057D">
      <w:pPr>
        <w:pStyle w:val="Akapitzlist"/>
        <w:spacing w:before="240"/>
        <w:ind w:left="709"/>
        <w:contextualSpacing w:val="0"/>
      </w:pPr>
      <w:r>
        <w:t>Objaśnienia:</w:t>
      </w:r>
    </w:p>
    <w:p w:rsidR="00DD0B24" w:rsidRDefault="00DD0B24" w:rsidP="00257CBA">
      <w:pPr>
        <w:spacing w:before="240"/>
        <w:ind w:left="904" w:firstLine="0"/>
      </w:pPr>
      <w:r>
        <w:t xml:space="preserve">Wynik budżetu w latach 2011-2013 zamknie się deficytem </w:t>
      </w:r>
      <w:r w:rsidR="007946A7">
        <w:t xml:space="preserve">, </w:t>
      </w:r>
      <w:r>
        <w:t xml:space="preserve">który zostanie  </w:t>
      </w:r>
      <w:r w:rsidR="006108C2">
        <w:t xml:space="preserve">               </w:t>
      </w:r>
      <w:r>
        <w:t xml:space="preserve">  </w:t>
      </w:r>
      <w:r w:rsidR="006108C2">
        <w:t xml:space="preserve">                            </w:t>
      </w:r>
      <w:r w:rsidR="00787605">
        <w:t xml:space="preserve">       </w:t>
      </w:r>
      <w:r w:rsidR="00257CBA">
        <w:t xml:space="preserve">           </w:t>
      </w:r>
      <w:r w:rsidR="007946A7">
        <w:t xml:space="preserve">pokryty </w:t>
      </w:r>
      <w:r>
        <w:t>nadwyżką budżetową z lat ubiegłych w kwocie  12.168.801 zł oraz planowanym kredytem bankowym w wys. 7.350.000 zł.</w:t>
      </w:r>
      <w:r w:rsidR="00257CBA">
        <w:t xml:space="preserve"> </w:t>
      </w:r>
      <w:r>
        <w:t>W latach 2014-2022 zamknie się nadwyżką budżetową,</w:t>
      </w:r>
      <w:r w:rsidR="007946A7">
        <w:t xml:space="preserve"> </w:t>
      </w:r>
      <w:r>
        <w:t xml:space="preserve"> która zostanie przeznaczona na spłatę rat zaciągniętego kredytu bankowego</w:t>
      </w:r>
      <w:r w:rsidR="004152C4">
        <w:t>.</w:t>
      </w:r>
    </w:p>
    <w:p w:rsidR="0068057D" w:rsidRPr="00E23EF3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b/>
        </w:rPr>
      </w:pPr>
      <w:r w:rsidRPr="00E23EF3">
        <w:rPr>
          <w:b/>
        </w:rPr>
        <w:t>Dotyczy przeznacze</w:t>
      </w:r>
      <w:r w:rsidR="000843EA" w:rsidRPr="00E23EF3">
        <w:rPr>
          <w:b/>
        </w:rPr>
        <w:t xml:space="preserve">nia nadwyżki budżetu  roku  2011 </w:t>
      </w:r>
      <w:r w:rsidR="001B726D" w:rsidRPr="00E23EF3">
        <w:rPr>
          <w:b/>
        </w:rPr>
        <w:t xml:space="preserve">i 2012 </w:t>
      </w:r>
      <w:r w:rsidRPr="00E23EF3">
        <w:rPr>
          <w:b/>
        </w:rPr>
        <w:t>wykaz</w:t>
      </w:r>
      <w:r w:rsidRPr="00E23EF3">
        <w:rPr>
          <w:b/>
        </w:rPr>
        <w:t>a</w:t>
      </w:r>
      <w:r w:rsidR="000843EA" w:rsidRPr="00E23EF3">
        <w:rPr>
          <w:b/>
        </w:rPr>
        <w:t xml:space="preserve">nych w poz. 4 </w:t>
      </w:r>
      <w:r w:rsidRPr="00E23EF3">
        <w:rPr>
          <w:b/>
        </w:rPr>
        <w:t>:</w:t>
      </w:r>
    </w:p>
    <w:p w:rsidR="0068057D" w:rsidRDefault="0068057D" w:rsidP="0068057D">
      <w:pPr>
        <w:pStyle w:val="Akapitzlist"/>
        <w:spacing w:before="240"/>
        <w:ind w:left="709"/>
        <w:contextualSpacing w:val="0"/>
      </w:pPr>
      <w:r>
        <w:t>Objaśnienia:</w:t>
      </w:r>
    </w:p>
    <w:p w:rsidR="001B726D" w:rsidRDefault="001B726D" w:rsidP="000843EA">
      <w:r>
        <w:t>Nadwyżka</w:t>
      </w:r>
      <w:r w:rsidR="000843EA">
        <w:t xml:space="preserve"> </w:t>
      </w:r>
      <w:r>
        <w:t xml:space="preserve">budżetowa w łącznej kwocie 12.168.801 zł </w:t>
      </w:r>
      <w:r w:rsidR="000843EA">
        <w:t xml:space="preserve"> będzie źródłem</w:t>
      </w:r>
    </w:p>
    <w:p w:rsidR="001B726D" w:rsidRDefault="000843EA" w:rsidP="001B726D">
      <w:r>
        <w:t xml:space="preserve"> finansowania wydatków inwestycyjnych</w:t>
      </w:r>
      <w:r w:rsidR="007946A7">
        <w:t xml:space="preserve">, </w:t>
      </w:r>
      <w:r>
        <w:t xml:space="preserve"> które nie znalazły pokrycia </w:t>
      </w:r>
    </w:p>
    <w:p w:rsidR="001B726D" w:rsidRDefault="000843EA" w:rsidP="001B726D">
      <w:r>
        <w:t>w planowanych dochodach bu</w:t>
      </w:r>
      <w:r w:rsidR="001B726D">
        <w:t xml:space="preserve">dżetowych i tak w 2011 roku sfinansuje </w:t>
      </w:r>
    </w:p>
    <w:p w:rsidR="000843EA" w:rsidRDefault="001B726D" w:rsidP="001B726D">
      <w:r>
        <w:t>wydatki w wys. 8.863.078 zł  a  w 2012 w wys. 3.305.723 zł.</w:t>
      </w:r>
    </w:p>
    <w:p w:rsidR="0068057D" w:rsidRDefault="0068057D" w:rsidP="0068057D">
      <w:pPr>
        <w:pStyle w:val="Akapitzlist"/>
        <w:ind w:left="709"/>
        <w:contextualSpacing w:val="0"/>
      </w:pPr>
    </w:p>
    <w:p w:rsidR="0068057D" w:rsidRPr="00E23EF3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b/>
        </w:rPr>
      </w:pPr>
      <w:r w:rsidRPr="00E23EF3">
        <w:rPr>
          <w:b/>
        </w:rPr>
        <w:t>Dotyczy sposobu sfinansow</w:t>
      </w:r>
      <w:r w:rsidR="000843EA" w:rsidRPr="00E23EF3">
        <w:rPr>
          <w:b/>
        </w:rPr>
        <w:t>ania deficytu budżetu roku  2011 (lat 2012-2014) wykazanych w poz. 21</w:t>
      </w:r>
      <w:r w:rsidRPr="00E23EF3">
        <w:rPr>
          <w:b/>
        </w:rPr>
        <w:t>:</w:t>
      </w:r>
    </w:p>
    <w:p w:rsidR="0068057D" w:rsidRDefault="0068057D" w:rsidP="0068057D">
      <w:pPr>
        <w:pStyle w:val="Akapitzlist"/>
        <w:spacing w:before="240"/>
        <w:ind w:left="709"/>
        <w:contextualSpacing w:val="0"/>
      </w:pPr>
      <w:r>
        <w:t>Objaśnienia:</w:t>
      </w:r>
    </w:p>
    <w:p w:rsidR="001B726D" w:rsidRDefault="000843EA" w:rsidP="000843EA">
      <w:r>
        <w:t xml:space="preserve">Zaplanowany celem zrealizowania wszystkich zaplanowanych zadań gminy, a </w:t>
      </w:r>
    </w:p>
    <w:p w:rsidR="001B726D" w:rsidRDefault="000843EA" w:rsidP="000843EA">
      <w:r>
        <w:t>w szczególności zadań inwestycyjnych. Stąd też planowana realizacja</w:t>
      </w:r>
    </w:p>
    <w:p w:rsidR="000843EA" w:rsidRDefault="000843EA" w:rsidP="001B726D">
      <w:r>
        <w:t xml:space="preserve"> wydatków jest dużo wyższa od dochodów.</w:t>
      </w:r>
    </w:p>
    <w:p w:rsidR="007946A7" w:rsidRDefault="001B726D" w:rsidP="000843EA">
      <w:r>
        <w:lastRenderedPageBreak/>
        <w:t>Ź</w:t>
      </w:r>
      <w:r w:rsidR="000843EA">
        <w:t>ródłem sfinansowania  założonego w latach  20</w:t>
      </w:r>
      <w:r w:rsidR="00DD0B24">
        <w:t>11-2013</w:t>
      </w:r>
      <w:r w:rsidR="000843EA">
        <w:t xml:space="preserve"> deficytu budżetowe</w:t>
      </w:r>
      <w:r w:rsidR="007946A7">
        <w:t>-</w:t>
      </w:r>
    </w:p>
    <w:p w:rsidR="000843EA" w:rsidRDefault="007946A7" w:rsidP="007946A7">
      <w:r>
        <w:t>go będzie</w:t>
      </w:r>
      <w:r w:rsidR="000843EA">
        <w:t>:</w:t>
      </w:r>
    </w:p>
    <w:p w:rsidR="000843EA" w:rsidRDefault="000843EA" w:rsidP="000843EA">
      <w:r>
        <w:t>-  w roku 2011 –</w:t>
      </w:r>
      <w:r w:rsidR="007946A7">
        <w:t xml:space="preserve"> </w:t>
      </w:r>
      <w:r>
        <w:t>nadwyżka budżetowa w  kwocie 8.863.078 zł</w:t>
      </w:r>
      <w:r w:rsidR="007946A7">
        <w:t>;</w:t>
      </w:r>
    </w:p>
    <w:p w:rsidR="001B726D" w:rsidRDefault="00DD0B24" w:rsidP="000843EA">
      <w:r>
        <w:t xml:space="preserve">-  w latach 2012-2013 </w:t>
      </w:r>
      <w:r w:rsidR="000843EA">
        <w:t xml:space="preserve"> nadwyżka budżetowa w kwocie 3.305.723 zł oraz  </w:t>
      </w:r>
    </w:p>
    <w:p w:rsidR="000843EA" w:rsidRDefault="007946A7" w:rsidP="001B726D">
      <w:r>
        <w:t xml:space="preserve">   </w:t>
      </w:r>
      <w:r w:rsidR="000843EA">
        <w:t xml:space="preserve">planowany do zaciągnięcia kredyt bankowy  w wysokości  7.350.000 zł . </w:t>
      </w:r>
    </w:p>
    <w:p w:rsidR="00CF2C69" w:rsidRDefault="00CF2C69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</w:pPr>
      <w:r w:rsidRPr="00E23EF3">
        <w:rPr>
          <w:b/>
        </w:rPr>
        <w:t>Dotyczy prz</w:t>
      </w:r>
      <w:r w:rsidR="000843EA" w:rsidRPr="00E23EF3">
        <w:rPr>
          <w:b/>
        </w:rPr>
        <w:t>ychodów  roku 2011(lat 2012-2013) wykazanych w poz. 22</w:t>
      </w:r>
      <w:r>
        <w:t>:</w:t>
      </w:r>
    </w:p>
    <w:p w:rsidR="00CF2C69" w:rsidRDefault="00CF2C69" w:rsidP="00CF2C69">
      <w:pPr>
        <w:pStyle w:val="Akapitzlist"/>
        <w:spacing w:before="240"/>
        <w:ind w:left="709"/>
        <w:contextualSpacing w:val="0"/>
      </w:pPr>
      <w:r>
        <w:t>Objaśnienia:</w:t>
      </w:r>
    </w:p>
    <w:p w:rsidR="000843EA" w:rsidRDefault="000843EA" w:rsidP="000843EA">
      <w:r>
        <w:t>Zaplanowane przychody pochodzić będą:</w:t>
      </w:r>
    </w:p>
    <w:p w:rsidR="001B726D" w:rsidRDefault="000843EA" w:rsidP="000843EA">
      <w:r>
        <w:t xml:space="preserve">-  w roku 2011  kwota  8.863.070 zł  z tyt. posiadanej nadwyżki budżetowej z </w:t>
      </w:r>
    </w:p>
    <w:p w:rsidR="000843EA" w:rsidRDefault="001B726D" w:rsidP="000843EA">
      <w:r>
        <w:t xml:space="preserve">    </w:t>
      </w:r>
      <w:r w:rsidR="007946A7">
        <w:t>lat ubiegłych;</w:t>
      </w:r>
    </w:p>
    <w:p w:rsidR="001B726D" w:rsidRDefault="000843EA" w:rsidP="000843EA">
      <w:r>
        <w:t xml:space="preserve">-  w roku 2012  kwota 7.155.723 zł z czego 3.305.723 zł pochodzić będzie z </w:t>
      </w:r>
    </w:p>
    <w:p w:rsidR="007946A7" w:rsidRDefault="001B726D" w:rsidP="001B726D">
      <w:r>
        <w:t xml:space="preserve">    </w:t>
      </w:r>
      <w:r w:rsidR="000843EA">
        <w:t>nadwyżki budżetowej z lat ubiegłych,</w:t>
      </w:r>
      <w:r w:rsidR="007946A7">
        <w:t xml:space="preserve"> a kwota </w:t>
      </w:r>
      <w:r w:rsidR="000843EA">
        <w:t xml:space="preserve"> 3.850.000  zł z planowanego </w:t>
      </w:r>
    </w:p>
    <w:p w:rsidR="000843EA" w:rsidRDefault="007946A7" w:rsidP="007946A7">
      <w:r>
        <w:t xml:space="preserve">    </w:t>
      </w:r>
      <w:r w:rsidR="000843EA">
        <w:t>do za</w:t>
      </w:r>
      <w:r>
        <w:t>ciągnięcia kredytu bankowego;</w:t>
      </w:r>
    </w:p>
    <w:p w:rsidR="001B726D" w:rsidRDefault="000843EA" w:rsidP="000843EA">
      <w:r>
        <w:t xml:space="preserve">-  w roku 2013 kwota 3.500.000 zł z planowanego do zaciągnięcia kredytu </w:t>
      </w:r>
    </w:p>
    <w:p w:rsidR="000843EA" w:rsidRDefault="001B726D" w:rsidP="000843EA">
      <w:r>
        <w:t xml:space="preserve">     </w:t>
      </w:r>
      <w:r w:rsidR="000843EA">
        <w:t>bankowego.</w:t>
      </w:r>
    </w:p>
    <w:p w:rsidR="00CF2C69" w:rsidRDefault="00CF2C69" w:rsidP="00CF2C69">
      <w:pPr>
        <w:pStyle w:val="Akapitzlist"/>
        <w:ind w:left="709"/>
        <w:contextualSpacing w:val="0"/>
      </w:pPr>
    </w:p>
    <w:p w:rsidR="0068057D" w:rsidRPr="00E23EF3" w:rsidRDefault="000843EA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b/>
        </w:rPr>
      </w:pPr>
      <w:r w:rsidRPr="00E23EF3">
        <w:rPr>
          <w:b/>
        </w:rPr>
        <w:t xml:space="preserve">Dotyczy rozchodów  </w:t>
      </w:r>
      <w:r w:rsidR="001B726D" w:rsidRPr="00E23EF3">
        <w:rPr>
          <w:b/>
        </w:rPr>
        <w:t xml:space="preserve">w  </w:t>
      </w:r>
      <w:r w:rsidRPr="00E23EF3">
        <w:rPr>
          <w:b/>
        </w:rPr>
        <w:t>lat</w:t>
      </w:r>
      <w:r w:rsidR="001B726D" w:rsidRPr="00E23EF3">
        <w:rPr>
          <w:b/>
        </w:rPr>
        <w:t>ach</w:t>
      </w:r>
      <w:r w:rsidRPr="00E23EF3">
        <w:rPr>
          <w:b/>
        </w:rPr>
        <w:t xml:space="preserve"> 2012-2022</w:t>
      </w:r>
      <w:r w:rsidR="001B726D" w:rsidRPr="00E23EF3">
        <w:rPr>
          <w:b/>
        </w:rPr>
        <w:t xml:space="preserve"> </w:t>
      </w:r>
      <w:r w:rsidRPr="00E23EF3">
        <w:rPr>
          <w:b/>
        </w:rPr>
        <w:t xml:space="preserve"> wykazanych w poz. 23</w:t>
      </w:r>
      <w:r w:rsidR="0068057D" w:rsidRPr="00E23EF3">
        <w:rPr>
          <w:b/>
        </w:rPr>
        <w:t>:</w:t>
      </w:r>
    </w:p>
    <w:p w:rsidR="0068057D" w:rsidRDefault="0068057D" w:rsidP="0068057D">
      <w:pPr>
        <w:pStyle w:val="Akapitzlist"/>
        <w:spacing w:before="240"/>
        <w:ind w:left="709"/>
        <w:contextualSpacing w:val="0"/>
      </w:pPr>
      <w:r>
        <w:t>Objaśnienia:</w:t>
      </w:r>
    </w:p>
    <w:p w:rsidR="001B726D" w:rsidRDefault="001B726D" w:rsidP="001B726D">
      <w:r>
        <w:t>Dotyczą  spłaty</w:t>
      </w:r>
      <w:r w:rsidR="000843EA">
        <w:t xml:space="preserve"> rat kredytu zaciągniętego na realizacje zadań inwestycyjnych  </w:t>
      </w:r>
    </w:p>
    <w:p w:rsidR="0068057D" w:rsidRDefault="001B726D" w:rsidP="001B726D">
      <w:r>
        <w:t xml:space="preserve"> </w:t>
      </w:r>
      <w:r w:rsidR="000843EA">
        <w:t xml:space="preserve">realizowanych </w:t>
      </w:r>
      <w:r>
        <w:t xml:space="preserve"> </w:t>
      </w:r>
      <w:r w:rsidR="000843EA">
        <w:t xml:space="preserve">m.in. z udziałem środków z UE </w:t>
      </w:r>
      <w:r>
        <w:t>.</w:t>
      </w:r>
    </w:p>
    <w:p w:rsidR="0068057D" w:rsidRPr="00E23EF3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b/>
        </w:rPr>
      </w:pPr>
      <w:r w:rsidRPr="00E23EF3">
        <w:rPr>
          <w:b/>
        </w:rPr>
        <w:t xml:space="preserve">Dotyczy długu </w:t>
      </w:r>
      <w:r w:rsidR="000843EA" w:rsidRPr="00E23EF3">
        <w:rPr>
          <w:b/>
        </w:rPr>
        <w:t>publicznego na koniec roku   (lat 2012-2021</w:t>
      </w:r>
      <w:r w:rsidRPr="00E23EF3">
        <w:rPr>
          <w:b/>
        </w:rPr>
        <w:t>) wykaz</w:t>
      </w:r>
      <w:r w:rsidRPr="00E23EF3">
        <w:rPr>
          <w:b/>
        </w:rPr>
        <w:t>a</w:t>
      </w:r>
      <w:r w:rsidR="001B726D" w:rsidRPr="00E23EF3">
        <w:rPr>
          <w:b/>
        </w:rPr>
        <w:t>nych w poz. 13</w:t>
      </w:r>
      <w:r w:rsidRPr="00E23EF3">
        <w:rPr>
          <w:b/>
        </w:rPr>
        <w:t>:</w:t>
      </w:r>
    </w:p>
    <w:p w:rsidR="0068057D" w:rsidRDefault="0068057D" w:rsidP="0068057D">
      <w:pPr>
        <w:pStyle w:val="Akapitzlist"/>
        <w:spacing w:before="240"/>
        <w:ind w:left="709"/>
        <w:contextualSpacing w:val="0"/>
      </w:pPr>
      <w:r>
        <w:t>Objaśnienia:</w:t>
      </w:r>
    </w:p>
    <w:p w:rsidR="001B726D" w:rsidRDefault="000843EA" w:rsidP="000843EA">
      <w:r>
        <w:t xml:space="preserve">Wykazany dług publiczny w latach 2012 – 2022  obejmuje zobowiązania na </w:t>
      </w:r>
    </w:p>
    <w:p w:rsidR="00137E36" w:rsidRDefault="000843EA" w:rsidP="000843EA">
      <w:r>
        <w:t xml:space="preserve">koniec poszczególnych lat z tyt. niespłaconego kredytu zaciągniętego w latach </w:t>
      </w:r>
    </w:p>
    <w:p w:rsidR="000843EA" w:rsidRDefault="000843EA" w:rsidP="000843EA">
      <w:r>
        <w:t>2012-2013.</w:t>
      </w:r>
    </w:p>
    <w:p w:rsidR="00137E36" w:rsidRDefault="000843EA" w:rsidP="000843EA">
      <w:r>
        <w:t xml:space="preserve">Zgodnie z przepisami ustawy o finansach publicznych obowiązują limity </w:t>
      </w:r>
    </w:p>
    <w:p w:rsidR="000843EA" w:rsidRDefault="00137E36" w:rsidP="00137E36">
      <w:r>
        <w:t>doty</w:t>
      </w:r>
      <w:r w:rsidR="007946A7">
        <w:t>czące zadłużenia:</w:t>
      </w:r>
    </w:p>
    <w:p w:rsidR="00D55434" w:rsidRDefault="00D55434" w:rsidP="000843EA">
      <w:r>
        <w:t xml:space="preserve">1) </w:t>
      </w:r>
      <w:r w:rsidR="007946A7">
        <w:t>W</w:t>
      </w:r>
      <w:r>
        <w:t xml:space="preserve"> latach 2011-2013 limity zadłużenia są takie same dla wszystkich</w:t>
      </w:r>
    </w:p>
    <w:p w:rsidR="000843EA" w:rsidRDefault="00D55434" w:rsidP="00D55434">
      <w:r>
        <w:t xml:space="preserve">   jednostek i tak:</w:t>
      </w:r>
    </w:p>
    <w:p w:rsidR="007946A7" w:rsidRDefault="000843EA" w:rsidP="000843EA">
      <w:r>
        <w:t>-  łączna kwota  długu na koniec roku budżetowego  nie może przekroczyć</w:t>
      </w:r>
    </w:p>
    <w:p w:rsidR="000843EA" w:rsidRDefault="007946A7" w:rsidP="007946A7">
      <w:r>
        <w:t xml:space="preserve">  </w:t>
      </w:r>
      <w:r w:rsidR="000843EA">
        <w:t xml:space="preserve"> 60 % planowanych dochodów budżetow</w:t>
      </w:r>
      <w:r>
        <w:t>ych;</w:t>
      </w:r>
    </w:p>
    <w:p w:rsidR="00137E36" w:rsidRDefault="000843EA" w:rsidP="00137E36">
      <w:r>
        <w:t xml:space="preserve"> -  łączna kwota przypadających w danym roku spłat kredytów </w:t>
      </w:r>
      <w:r w:rsidR="00137E36">
        <w:t>nie może prze</w:t>
      </w:r>
    </w:p>
    <w:p w:rsidR="00137E36" w:rsidRDefault="00137E36" w:rsidP="00137E36">
      <w:r>
        <w:t xml:space="preserve">    kroczyć 15  % planowanych dochodów   budżetow</w:t>
      </w:r>
      <w:r w:rsidR="007946A7">
        <w:t>ych.</w:t>
      </w:r>
    </w:p>
    <w:p w:rsidR="00D55434" w:rsidRDefault="00137E36" w:rsidP="000843EA">
      <w:r>
        <w:t xml:space="preserve">2) </w:t>
      </w:r>
      <w:r w:rsidR="005129C8">
        <w:t xml:space="preserve">Od 2014 roku wchodzą </w:t>
      </w:r>
      <w:r w:rsidR="00E23EF3">
        <w:t xml:space="preserve"> </w:t>
      </w:r>
      <w:r w:rsidR="00D55434">
        <w:t xml:space="preserve">indywidualne limity długu , które wykazane zostały </w:t>
      </w:r>
    </w:p>
    <w:p w:rsidR="005129C8" w:rsidRDefault="00D55434" w:rsidP="000843EA">
      <w:r>
        <w:t xml:space="preserve">  w poz. 15,</w:t>
      </w:r>
      <w:r w:rsidR="007946A7">
        <w:t xml:space="preserve"> 15a WPF.</w:t>
      </w:r>
    </w:p>
    <w:p w:rsidR="0068057D" w:rsidRDefault="0068057D" w:rsidP="0068057D">
      <w:pPr>
        <w:pStyle w:val="Akapitzlist"/>
        <w:ind w:left="709"/>
        <w:contextualSpacing w:val="0"/>
      </w:pPr>
    </w:p>
    <w:sectPr w:rsidR="0068057D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C6" w:rsidRDefault="00D54BC6">
      <w:r>
        <w:separator/>
      </w:r>
    </w:p>
  </w:endnote>
  <w:endnote w:type="continuationSeparator" w:id="0">
    <w:p w:rsidR="00D54BC6" w:rsidRDefault="00D5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C6" w:rsidRDefault="00D54BC6">
      <w:pPr>
        <w:ind w:firstLine="0"/>
      </w:pPr>
      <w:r>
        <w:separator/>
      </w:r>
    </w:p>
  </w:footnote>
  <w:footnote w:type="continuationSeparator" w:id="0">
    <w:p w:rsidR="00D54BC6" w:rsidRDefault="00D5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6B4AAF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BE2DA1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6B4AAF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BE2DA1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B78"/>
    <w:multiLevelType w:val="hybridMultilevel"/>
    <w:tmpl w:val="245A0934"/>
    <w:lvl w:ilvl="0" w:tplc="73CA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48"/>
    <w:rsid w:val="00020541"/>
    <w:rsid w:val="00030373"/>
    <w:rsid w:val="00037438"/>
    <w:rsid w:val="00073499"/>
    <w:rsid w:val="000843EA"/>
    <w:rsid w:val="00090197"/>
    <w:rsid w:val="000920A1"/>
    <w:rsid w:val="000E2F0E"/>
    <w:rsid w:val="00113020"/>
    <w:rsid w:val="00127144"/>
    <w:rsid w:val="0013657E"/>
    <w:rsid w:val="00137E36"/>
    <w:rsid w:val="001503E0"/>
    <w:rsid w:val="001B726D"/>
    <w:rsid w:val="001C06D8"/>
    <w:rsid w:val="001C6B47"/>
    <w:rsid w:val="001E5636"/>
    <w:rsid w:val="00214DB0"/>
    <w:rsid w:val="00232847"/>
    <w:rsid w:val="00257CBA"/>
    <w:rsid w:val="002850DC"/>
    <w:rsid w:val="00286734"/>
    <w:rsid w:val="002B1F32"/>
    <w:rsid w:val="00311B31"/>
    <w:rsid w:val="00334FC9"/>
    <w:rsid w:val="00342F6C"/>
    <w:rsid w:val="003816E2"/>
    <w:rsid w:val="003918C8"/>
    <w:rsid w:val="003C5EA9"/>
    <w:rsid w:val="003E6806"/>
    <w:rsid w:val="003F0346"/>
    <w:rsid w:val="004152C4"/>
    <w:rsid w:val="004737BB"/>
    <w:rsid w:val="004B017F"/>
    <w:rsid w:val="004C096E"/>
    <w:rsid w:val="005018FF"/>
    <w:rsid w:val="005079F0"/>
    <w:rsid w:val="005129C8"/>
    <w:rsid w:val="00542825"/>
    <w:rsid w:val="0054738D"/>
    <w:rsid w:val="00556680"/>
    <w:rsid w:val="005C4458"/>
    <w:rsid w:val="005D5F0A"/>
    <w:rsid w:val="006108C2"/>
    <w:rsid w:val="00635ED1"/>
    <w:rsid w:val="00645848"/>
    <w:rsid w:val="00655D91"/>
    <w:rsid w:val="0066361C"/>
    <w:rsid w:val="006639EE"/>
    <w:rsid w:val="00667C52"/>
    <w:rsid w:val="00671D54"/>
    <w:rsid w:val="00674BC9"/>
    <w:rsid w:val="00677297"/>
    <w:rsid w:val="0068057D"/>
    <w:rsid w:val="006946EE"/>
    <w:rsid w:val="006A5305"/>
    <w:rsid w:val="006B4AAF"/>
    <w:rsid w:val="00744E0E"/>
    <w:rsid w:val="00787605"/>
    <w:rsid w:val="007946A7"/>
    <w:rsid w:val="007D68A4"/>
    <w:rsid w:val="007F0C2C"/>
    <w:rsid w:val="00821A3C"/>
    <w:rsid w:val="00843D6F"/>
    <w:rsid w:val="0087285A"/>
    <w:rsid w:val="00904273"/>
    <w:rsid w:val="00921A7A"/>
    <w:rsid w:val="00941F7B"/>
    <w:rsid w:val="00991A58"/>
    <w:rsid w:val="009A280F"/>
    <w:rsid w:val="00A33B9A"/>
    <w:rsid w:val="00A83781"/>
    <w:rsid w:val="00AD141C"/>
    <w:rsid w:val="00AF3D14"/>
    <w:rsid w:val="00B54792"/>
    <w:rsid w:val="00BE2DA1"/>
    <w:rsid w:val="00C07451"/>
    <w:rsid w:val="00C5301D"/>
    <w:rsid w:val="00C66C2A"/>
    <w:rsid w:val="00CA1218"/>
    <w:rsid w:val="00CA63E8"/>
    <w:rsid w:val="00CF2C69"/>
    <w:rsid w:val="00D0632B"/>
    <w:rsid w:val="00D27198"/>
    <w:rsid w:val="00D340C3"/>
    <w:rsid w:val="00D54BC6"/>
    <w:rsid w:val="00D55434"/>
    <w:rsid w:val="00D63A20"/>
    <w:rsid w:val="00D72C77"/>
    <w:rsid w:val="00D90513"/>
    <w:rsid w:val="00DD0B24"/>
    <w:rsid w:val="00DF2C7B"/>
    <w:rsid w:val="00DF2F72"/>
    <w:rsid w:val="00E024DB"/>
    <w:rsid w:val="00E23EF3"/>
    <w:rsid w:val="00E46A16"/>
    <w:rsid w:val="00E4787E"/>
    <w:rsid w:val="00EE0640"/>
    <w:rsid w:val="00EE26C8"/>
    <w:rsid w:val="00EF66CB"/>
    <w:rsid w:val="00F103C3"/>
    <w:rsid w:val="00F32C18"/>
    <w:rsid w:val="00F72104"/>
    <w:rsid w:val="00F74618"/>
    <w:rsid w:val="00F8724E"/>
    <w:rsid w:val="00FA3BC9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Skarbnik</cp:lastModifiedBy>
  <cp:revision>14</cp:revision>
  <cp:lastPrinted>2010-11-16T08:51:00Z</cp:lastPrinted>
  <dcterms:created xsi:type="dcterms:W3CDTF">2010-11-04T10:25:00Z</dcterms:created>
  <dcterms:modified xsi:type="dcterms:W3CDTF">2011-01-25T12:16:00Z</dcterms:modified>
</cp:coreProperties>
</file>